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fldChar w:fldCharType="begin"/>
      </w:r>
      <w:r>
        <w:instrText xml:space="preserve"> HYPERLINK "</w:instrText>
      </w:r>
      <w:r>
        <w:instrText xml:space="preserve">https://www.redtinc.com/laser-marking-machines</w:instrText>
      </w:r>
      <w:r>
        <w:instrText xml:space="preserve">" </w:instrText>
      </w:r>
      <w:r>
        <w:fldChar w:fldCharType="separate"/>
      </w:r>
      <w:r>
        <w:rPr>
          <w:rStyle w:val="640"/>
        </w:rPr>
        <w:t xml:space="preserve">https://www.redtinc.com/laser-marking-machines</w:t>
      </w:r>
      <w:r>
        <w:fldChar w:fldCharType="end"/>
      </w:r>
      <w:r/>
    </w:p>
    <w:p>
      <w:pPr>
        <w:rPr>
          <w:sz w:val="28"/>
        </w:rPr>
      </w:pPr>
      <w:r>
        <w:rPr>
          <w:sz w:val="28"/>
        </w:rPr>
        <w:t xml:space="preserve">Таблица сравнения продуктов – функции</w:t>
      </w:r>
      <w:r/>
    </w:p>
    <w:p>
      <w:r>
        <w:t xml:space="preserve">Найдите наиболее подходящий для вас продукт с помощью нашей таблицы сравнения продуктов ниже.</w:t>
      </w:r>
      <w:r/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2820"/>
        <w:gridCol w:w="1416"/>
        <w:gridCol w:w="1413"/>
        <w:gridCol w:w="1412"/>
        <w:gridCol w:w="1272"/>
        <w:gridCol w:w="1238"/>
      </w:tblGrid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Модель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L</w:t>
            </w:r>
            <w:r>
              <w:t xml:space="preserve">2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L3-20W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L3-30W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L3-60W</w:t>
            </w:r>
            <w:r/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</w:pPr>
            <w:r>
              <w:t xml:space="preserve">L3-100W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Основные характеристики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Маркировка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Маркировка, резка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Тип</w:t>
            </w:r>
            <w:r/>
          </w:p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Камера (ручная защитная дверца)</w:t>
            </w:r>
            <w:r/>
          </w:p>
          <w:p>
            <w:r/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Камера </w:t>
            </w:r>
            <w:r/>
          </w:p>
          <w:p>
            <w:r>
              <w:t xml:space="preserve">(автоматическая защитная дверца)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Встроенная камера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Автоматическая фокусировка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Лазер с 3 фокусными точками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Автофокусировка на вращающемся объекте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Автоматическая защитная дверца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Моторизованная ось </w:t>
            </w:r>
            <w:r>
              <w:t xml:space="preserve">Z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Нанесение маркировки на цилиндрическую поверхность (кольцо)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>
              <w:t xml:space="preserve"> (макс. 30 мм)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Нанесение маркировки </w:t>
            </w:r>
            <w:r>
              <w:t xml:space="preserve">на цилиндрическую поверхность (б</w:t>
            </w:r>
            <w:r>
              <w:t xml:space="preserve">раслет)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Поворотный прихват с автоматическим наклоном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Стыковочный зажим с </w:t>
            </w:r>
            <w:r>
              <w:t xml:space="preserve">бестросовой</w:t>
            </w:r>
            <w:r>
              <w:t xml:space="preserve"> системой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 (с кабелем)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Микрорегулировка</w:t>
            </w:r>
            <w:r>
              <w:t xml:space="preserve"> бокового положения поворотного прихвата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ЖК-дисплей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Светодиодный индикатор состояния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Регулировка яркости подсветки камеры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Регулировка яркости фокусирующего лазера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Управление включением/выключением пылеотделителя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Автоматическое включение/выключение пылеотделителя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Внешний порт ввода-вывода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Х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Улучшенная эффективность </w:t>
            </w:r>
            <w:r>
              <w:t xml:space="preserve">пылеотделителя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Индикация требуемого времени гравировки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r>
              <w:t xml:space="preserve">Автоматическое восстановление данных коррекции и настройки в режиме </w:t>
            </w:r>
            <w:r>
              <w:t xml:space="preserve">онлайн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О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О</w:t>
            </w:r>
            <w:r/>
          </w:p>
        </w:tc>
      </w:tr>
    </w:tbl>
    <w:p>
      <w:r/>
      <w:r/>
    </w:p>
    <w:p>
      <w:r>
        <w:rPr>
          <w:highlight w:val="yellow"/>
        </w:rPr>
        <w:t xml:space="preserve">Кнопк</w:t>
      </w:r>
      <w:r>
        <w:rPr>
          <w:highlight w:val="yellow"/>
        </w:rPr>
        <w:t xml:space="preserve">а</w:t>
      </w:r>
      <w:r/>
    </w:p>
    <w:p>
      <w:r>
        <w:t xml:space="preserve">Запрос по продукту</w:t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rPr>
          <w:sz w:val="28"/>
        </w:rPr>
      </w:pPr>
      <w:r>
        <w:rPr>
          <w:sz w:val="28"/>
        </w:rPr>
        <w:t xml:space="preserve">Таблица сравнения продуктов </w:t>
      </w:r>
      <w:r>
        <w:t xml:space="preserve">- </w:t>
      </w:r>
      <w:r>
        <w:rPr>
          <w:sz w:val="28"/>
        </w:rPr>
        <w:t xml:space="preserve">технические характеристики</w:t>
      </w:r>
      <w:r/>
    </w:p>
    <w:p>
      <w:r>
        <w:t xml:space="preserve">Найдите наиболее подходящий для вас продукт с помощью нашей таблицы сравнения продуктов ниже.</w:t>
      </w:r>
      <w:r/>
    </w:p>
    <w:p>
      <w:r/>
      <w:r/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1417"/>
        <w:gridCol w:w="1276"/>
        <w:gridCol w:w="1241"/>
      </w:tblGrid>
      <w:tr>
        <w:trPr/>
        <w:tc>
          <w:tcPr>
            <w:tcW w:w="2376" w:type="dxa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L2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L3-20W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L3-30W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L3-60W</w:t>
            </w:r>
            <w:r/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</w:pPr>
            <w:r>
              <w:t xml:space="preserve">L3-100W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Класс лазера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Лазерное устройство класса 1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Лазерное устройство класса 1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Размеры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304 мм (</w:t>
            </w:r>
            <w:r>
              <w:t xml:space="preserve">Ш</w:t>
            </w:r>
            <w:r>
              <w:t xml:space="preserve">) </w:t>
            </w:r>
            <w:r>
              <w:t xml:space="preserve">x</w:t>
            </w:r>
            <w:r>
              <w:t xml:space="preserve"> 500 мм (В) </w:t>
            </w:r>
            <w:r>
              <w:t xml:space="preserve">x</w:t>
            </w:r>
            <w:r>
              <w:t xml:space="preserve"> 554 мм (Г)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404 мм (</w:t>
            </w:r>
            <w:r>
              <w:t xml:space="preserve">Ш</w:t>
            </w:r>
            <w:r>
              <w:t xml:space="preserve">) </w:t>
            </w:r>
            <w:r>
              <w:t xml:space="preserve">x</w:t>
            </w:r>
            <w:r>
              <w:t xml:space="preserve"> 556 мм (В) </w:t>
            </w:r>
            <w:r>
              <w:t xml:space="preserve">x</w:t>
            </w:r>
            <w:r>
              <w:t xml:space="preserve"> 590 мм (Г)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Площадь маркировки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85 мм </w:t>
            </w:r>
            <w:r>
              <w:t xml:space="preserve">х</w:t>
            </w:r>
            <w:r>
              <w:t xml:space="preserve"> 85 мм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110 мм </w:t>
            </w:r>
            <w:r>
              <w:t xml:space="preserve">х</w:t>
            </w:r>
            <w:r>
              <w:t xml:space="preserve"> 110 мм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Максимальная высота материала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62 мм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100 мм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Ход по оси </w:t>
            </w:r>
            <w:r>
              <w:t xml:space="preserve">Z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62 мм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100 мм 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Размер камеры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350 мм (</w:t>
            </w:r>
            <w:r>
              <w:t xml:space="preserve">Ш</w:t>
            </w:r>
            <w:r>
              <w:t xml:space="preserve">) </w:t>
            </w:r>
            <w:r>
              <w:t xml:space="preserve">x</w:t>
            </w:r>
            <w:r>
              <w:t xml:space="preserve"> 100 мм (В) </w:t>
            </w:r>
            <w:r>
              <w:t xml:space="preserve">x</w:t>
            </w:r>
            <w:r>
              <w:t xml:space="preserve"> 170 мм (Г)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350 мм (</w:t>
            </w:r>
            <w:r>
              <w:t xml:space="preserve">Ш</w:t>
            </w:r>
            <w:r>
              <w:t xml:space="preserve">) </w:t>
            </w:r>
            <w:r>
              <w:t xml:space="preserve">x</w:t>
            </w:r>
            <w:r>
              <w:t xml:space="preserve"> 100 мм (В) </w:t>
            </w:r>
            <w:r>
              <w:t xml:space="preserve">x</w:t>
            </w:r>
            <w:r>
              <w:t xml:space="preserve"> 170 мм (Г)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Высота защитной дверцы в открытом состоянии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751 мм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266 мм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Максимальный вес материала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4 кг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20 кг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Вес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36 кг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45</w:t>
            </w:r>
            <w:r>
              <w:t xml:space="preserve"> кг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46 кг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50 кг</w:t>
            </w:r>
            <w:r/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</w:pPr>
            <w:r>
              <w:t xml:space="preserve">54 кг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Питание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**</w:t>
            </w:r>
            <w:r>
              <w:t xml:space="preserve">100-240</w:t>
            </w:r>
            <w:r>
              <w:t xml:space="preserve"> В</w:t>
            </w:r>
            <w:r>
              <w:t xml:space="preserve">, 50 Гц/60 Гц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100-240</w:t>
            </w:r>
            <w:r>
              <w:t xml:space="preserve"> В</w:t>
            </w:r>
            <w:r>
              <w:t xml:space="preserve"> переменного тока, 50 Гц/60 Гц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Э</w:t>
            </w:r>
            <w:r>
              <w:t xml:space="preserve">нергопотребление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240 Вт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290 Вт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340 Вт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520 Вт</w:t>
            </w:r>
            <w:r/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</w:pPr>
            <w:r>
              <w:t xml:space="preserve">730 Вт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r>
              <w:t xml:space="preserve">Охлаждение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Воздушное охлаждение</w:t>
            </w:r>
            <w:r/>
          </w:p>
        </w:tc>
        <w:tc>
          <w:tcPr>
            <w:gridSpan w:val="4"/>
            <w:tcW w:w="5352" w:type="dxa"/>
            <w:textDirection w:val="lrTb"/>
            <w:noWrap w:val="false"/>
          </w:tcPr>
          <w:p>
            <w:r>
              <w:t xml:space="preserve">Воздушное охлаждение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sz w:val="28"/>
        </w:rPr>
      </w:pPr>
      <w:r>
        <w:rPr>
          <w:sz w:val="28"/>
        </w:rPr>
        <w:t xml:space="preserve">Таблица сравнения продуктов </w:t>
      </w:r>
      <w:r>
        <w:t xml:space="preserve">–</w:t>
      </w:r>
      <w:r>
        <w:t xml:space="preserve"> </w:t>
      </w:r>
      <w:r>
        <w:rPr>
          <w:sz w:val="28"/>
        </w:rPr>
        <w:t xml:space="preserve">функции маркировки</w:t>
      </w:r>
      <w:r/>
    </w:p>
    <w:p>
      <w:r>
        <w:t xml:space="preserve">Найдите наиболее подходящий для вас продукт с помощью нашей таблицы сравнения продуктов ниже.</w:t>
      </w:r>
      <w:r/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4184"/>
        <w:gridCol w:w="1045"/>
        <w:gridCol w:w="1135"/>
        <w:gridCol w:w="1025"/>
        <w:gridCol w:w="1025"/>
        <w:gridCol w:w="1157"/>
      </w:tblGrid>
      <w:tr>
        <w:trPr/>
        <w:tc>
          <w:tcPr>
            <w:tcW w:w="4184" w:type="dxa"/>
            <w:textDirection w:val="lrTb"/>
            <w:noWrap w:val="false"/>
          </w:tcPr>
          <w:p>
            <w:r/>
            <w:r/>
          </w:p>
        </w:tc>
        <w:tc>
          <w:tcPr>
            <w:tcW w:w="1045" w:type="dxa"/>
            <w:textDirection w:val="lrTb"/>
            <w:noWrap w:val="false"/>
          </w:tcPr>
          <w:p>
            <w:pPr>
              <w:jc w:val="center"/>
            </w:pPr>
            <w:r>
              <w:t xml:space="preserve">L2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</w:pPr>
            <w:r>
              <w:t xml:space="preserve">L3-20W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jc w:val="center"/>
            </w:pPr>
            <w:r>
              <w:t xml:space="preserve">L3-30W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r>
              <w:t xml:space="preserve">L3-60W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</w:pPr>
            <w:r>
              <w:t xml:space="preserve">L3-1000W</w:t>
            </w:r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Черная маркировка/белая маркировка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</w:t>
            </w:r>
            <w:r/>
          </w:p>
          <w:p>
            <w:r/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</w:t>
            </w:r>
            <w:r/>
          </w:p>
          <w:p>
            <w:r/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  <w:p>
            <w:r/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Фотопроекционная маркировка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Цветная маркировка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Глубокая маркировка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Резка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mbria Math" w:hAnsi="Cambria Math" w:cs="Cambria Math"/>
              </w:rPr>
              <w:t xml:space="preserve">△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mbria Math" w:hAnsi="Cambria Math" w:cs="Cambria Math"/>
              </w:rPr>
              <w:t xml:space="preserve">△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V-образная резьба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MS Gothic" w:hAnsi="MS Gothic" w:cs="MS Gothic" w:eastAsia="MS Gothic" w:hint="eastAsia"/>
              </w:rPr>
              <w:t xml:space="preserve">★★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r>
              <w:rPr>
                <w:rFonts w:ascii="MS Gothic" w:hAnsi="MS Gothic" w:cs="MS Gothic" w:eastAsia="MS Gothic" w:hint="eastAsia"/>
              </w:rPr>
              <w:t xml:space="preserve">★★★</w:t>
            </w:r>
            <w:r/>
          </w:p>
        </w:tc>
      </w:tr>
      <w:tr>
        <w:trPr/>
        <w:tc>
          <w:tcPr>
            <w:tcW w:w="4184" w:type="dxa"/>
            <w:textDirection w:val="lrTb"/>
            <w:noWrap w:val="false"/>
          </w:tcPr>
          <w:p>
            <w:r>
              <w:t xml:space="preserve">Очистка</w:t>
            </w:r>
            <w:r/>
          </w:p>
        </w:tc>
        <w:tc>
          <w:tcPr>
            <w:tcW w:w="104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025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r>
              <w:t xml:space="preserve">○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MS Gothic" w:hAnsi="MS Gothic" w:cs="MS Gothic" w:eastAsia="MS Gothic" w:hint="eastAsia"/>
        </w:rPr>
        <w:t xml:space="preserve">★</w:t>
      </w:r>
      <w:r>
        <w:rPr>
          <w:rFonts w:ascii="Calibri" w:hAnsi="Calibri" w:cs="Calibri"/>
        </w:rPr>
        <w:t xml:space="preserve"> : Нормальный </w:t>
      </w:r>
      <w:r>
        <w:rPr>
          <w:rFonts w:ascii="Calibri" w:hAnsi="Calibri" w:cs="Calibri"/>
        </w:rPr>
        <w:tab/>
      </w:r>
      <w:r>
        <w:rPr>
          <w:rFonts w:ascii="MS Gothic" w:hAnsi="MS Gothic" w:cs="MS Gothic" w:eastAsia="MS Gothic" w:hint="eastAsia"/>
        </w:rPr>
        <w:t xml:space="preserve">★★</w:t>
      </w:r>
      <w:r>
        <w:rPr>
          <w:rFonts w:ascii="Calibri" w:hAnsi="Calibri" w:cs="Calibri"/>
        </w:rPr>
        <w:t xml:space="preserve"> :</w:t>
      </w:r>
      <w:r>
        <w:rPr>
          <w:rFonts w:ascii="Calibri" w:hAnsi="Calibri" w:cs="Calibri"/>
        </w:rPr>
        <w:t xml:space="preserve"> Хороший </w:t>
      </w:r>
      <w:r>
        <w:rPr>
          <w:rFonts w:ascii="Calibri" w:hAnsi="Calibri" w:cs="Calibri"/>
        </w:rPr>
        <w:tab/>
      </w:r>
      <w:r>
        <w:rPr>
          <w:rFonts w:ascii="MS Gothic" w:hAnsi="MS Gothic" w:cs="MS Gothic" w:eastAsia="MS Gothic" w:hint="eastAsia"/>
        </w:rPr>
        <w:t xml:space="preserve">★★★</w:t>
      </w:r>
      <w:r>
        <w:rPr>
          <w:rFonts w:ascii="Calibri" w:hAnsi="Calibri" w:cs="Calibri"/>
        </w:rPr>
        <w:t xml:space="preserve"> 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Очень хороший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○</w:t>
      </w:r>
      <w:r>
        <w:rPr>
          <w:rFonts w:ascii="Calibri" w:hAnsi="Calibri" w:cs="Calibri"/>
        </w:rPr>
        <w:t xml:space="preserve"> :</w:t>
      </w:r>
      <w:r>
        <w:rPr>
          <w:rFonts w:ascii="Calibri" w:hAnsi="Calibri" w:cs="Calibri"/>
        </w:rPr>
        <w:t xml:space="preserve"> Поддерживается </w:t>
      </w:r>
      <w:r/>
    </w:p>
    <w:p>
      <w:r>
        <w:rPr>
          <w:rFonts w:ascii="Cambria Math" w:hAnsi="Cambria Math" w:cs="Cambria Math"/>
        </w:rPr>
        <w:t xml:space="preserve">△</w:t>
      </w:r>
      <w:r>
        <w:rPr>
          <w:rFonts w:ascii="Calibri" w:hAnsi="Calibri" w:cs="Calibri"/>
        </w:rPr>
        <w:t xml:space="preserve"> : Не рекомендуется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MS Gothic">
    <w:panose1 w:val="020B06090202040A02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1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8"/>
  </w:num>
  <w:num w:numId="13">
    <w:abstractNumId w:val="11"/>
  </w:num>
  <w:num w:numId="14">
    <w:abstractNumId w:val="15"/>
  </w:num>
  <w:num w:numId="15">
    <w:abstractNumId w:val="13"/>
  </w:num>
  <w:num w:numId="16">
    <w:abstractNumId w:val="12"/>
  </w:num>
  <w:num w:numId="17">
    <w:abstractNumId w:val="0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6"/>
    <w:next w:val="63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3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6"/>
    <w:next w:val="63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3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6"/>
    <w:next w:val="63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3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3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3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3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3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3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3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36"/>
    <w:next w:val="63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37"/>
    <w:link w:val="32"/>
    <w:uiPriority w:val="10"/>
    <w:rPr>
      <w:sz w:val="48"/>
      <w:szCs w:val="48"/>
    </w:rPr>
  </w:style>
  <w:style w:type="paragraph" w:styleId="34">
    <w:name w:val="Subtitle"/>
    <w:basedOn w:val="636"/>
    <w:next w:val="63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37"/>
    <w:link w:val="34"/>
    <w:uiPriority w:val="11"/>
    <w:rPr>
      <w:sz w:val="24"/>
      <w:szCs w:val="24"/>
    </w:rPr>
  </w:style>
  <w:style w:type="paragraph" w:styleId="36">
    <w:name w:val="Quote"/>
    <w:basedOn w:val="636"/>
    <w:next w:val="63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6"/>
    <w:next w:val="63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3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37"/>
    <w:link w:val="40"/>
    <w:uiPriority w:val="99"/>
  </w:style>
  <w:style w:type="paragraph" w:styleId="42">
    <w:name w:val="Footer"/>
    <w:basedOn w:val="63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37"/>
    <w:link w:val="42"/>
    <w:uiPriority w:val="99"/>
  </w:style>
  <w:style w:type="paragraph" w:styleId="44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3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7"/>
    <w:uiPriority w:val="99"/>
    <w:unhideWhenUsed/>
    <w:rPr>
      <w:vertAlign w:val="superscript"/>
    </w:rPr>
  </w:style>
  <w:style w:type="paragraph" w:styleId="176">
    <w:name w:val="endnote text"/>
    <w:basedOn w:val="63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7"/>
    <w:uiPriority w:val="99"/>
    <w:semiHidden/>
    <w:unhideWhenUsed/>
    <w:rPr>
      <w:vertAlign w:val="superscript"/>
    </w:rPr>
  </w:style>
  <w:style w:type="paragraph" w:styleId="179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>
    <w:name w:val="Hyperlink"/>
    <w:basedOn w:val="637"/>
    <w:uiPriority w:val="99"/>
    <w:unhideWhenUsed/>
    <w:rPr>
      <w:color w:val="0000FF" w:themeColor="hyperlink"/>
      <w:u w:val="single"/>
    </w:rPr>
  </w:style>
  <w:style w:type="paragraph" w:styleId="641">
    <w:name w:val="List Paragraph"/>
    <w:basedOn w:val="636"/>
    <w:uiPriority w:val="34"/>
    <w:qFormat/>
    <w:pPr>
      <w:contextualSpacing/>
      <w:ind w:left="720"/>
    </w:pPr>
  </w:style>
  <w:style w:type="table" w:styleId="642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5D6E317-B4D0-4A1A-83C4-5888588B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Даниил Архипов</cp:lastModifiedBy>
  <cp:revision>11</cp:revision>
  <dcterms:created xsi:type="dcterms:W3CDTF">2023-02-08T12:51:00Z</dcterms:created>
  <dcterms:modified xsi:type="dcterms:W3CDTF">2023-03-23T13:03:00Z</dcterms:modified>
</cp:coreProperties>
</file>